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210" w:afterAutospacing="0" w:line="21" w:lineRule="atLeast"/>
        <w:jc w:val="center"/>
        <w:rPr>
          <w:rFonts w:hint="default" w:cs="宋体"/>
          <w:color w:val="333333"/>
          <w:spacing w:val="8"/>
          <w:sz w:val="44"/>
          <w:szCs w:val="44"/>
          <w:shd w:val="clear" w:color="auto" w:fill="FFFFFF"/>
        </w:rPr>
      </w:pPr>
      <w:r>
        <w:rPr>
          <w:rFonts w:cs="宋体"/>
          <w:color w:val="333333"/>
          <w:spacing w:val="8"/>
          <w:sz w:val="44"/>
          <w:szCs w:val="44"/>
          <w:shd w:val="clear" w:color="auto" w:fill="FFFFFF"/>
        </w:rPr>
        <w:t>洛阳职业技术学院</w:t>
      </w:r>
    </w:p>
    <w:p>
      <w:pPr>
        <w:pStyle w:val="2"/>
        <w:widowControl/>
        <w:spacing w:before="0" w:beforeAutospacing="0" w:after="210" w:afterAutospacing="0" w:line="21" w:lineRule="atLeast"/>
        <w:jc w:val="center"/>
        <w:rPr>
          <w:rFonts w:hint="default" w:cs="宋体"/>
          <w:color w:val="333333"/>
          <w:spacing w:val="8"/>
          <w:sz w:val="44"/>
          <w:szCs w:val="44"/>
        </w:rPr>
      </w:pPr>
      <w:r>
        <w:rPr>
          <w:rFonts w:cs="宋体"/>
          <w:color w:val="333333"/>
          <w:spacing w:val="8"/>
          <w:sz w:val="44"/>
          <w:szCs w:val="44"/>
          <w:shd w:val="clear" w:color="auto" w:fill="FFFFFF"/>
        </w:rPr>
        <w:t>2021年秋季学期新生线上报到须知</w:t>
      </w:r>
    </w:p>
    <w:p>
      <w:pPr>
        <w:pStyle w:val="7"/>
        <w:widowControl/>
        <w:spacing w:before="0" w:beforeAutospacing="0" w:after="0" w:afterAutospacing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亲爱的同学们：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根据洛阳市当前疫情防控形势，按照上级教育主管部门和学校属地政府要求，经研究决定，2021年秋季学期按照“按时开学，线上报到，在线授课，暂不返校”的原则执行。现将新生报到流程、在线上课、学费缴纳、疫情防控等要求告知如下。</w:t>
      </w:r>
    </w:p>
    <w:p>
      <w:pPr>
        <w:widowControl/>
        <w:ind w:firstLine="672" w:firstLineChars="200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Style w:val="10"/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</w:rPr>
        <w:t>一、线上报到流程</w:t>
      </w:r>
    </w:p>
    <w:p>
      <w:pPr>
        <w:pStyle w:val="7"/>
        <w:widowControl/>
        <w:spacing w:before="0" w:beforeAutospacing="0" w:after="0" w:afterAutospacing="0" w:line="390" w:lineRule="atLeast"/>
        <w:ind w:firstLine="645"/>
        <w:jc w:val="both"/>
        <w:rPr>
          <w:rFonts w:ascii="楷体" w:hAnsi="楷体" w:eastAsia="楷体" w:cs="楷体"/>
          <w:sz w:val="32"/>
          <w:szCs w:val="32"/>
        </w:rPr>
      </w:pPr>
      <w:r>
        <w:rPr>
          <w:rStyle w:val="10"/>
          <w:rFonts w:hint="eastAsia" w:ascii="楷体" w:hAnsi="楷体" w:eastAsia="楷体" w:cs="楷体"/>
          <w:color w:val="000000"/>
          <w:spacing w:val="8"/>
          <w:sz w:val="32"/>
          <w:szCs w:val="32"/>
          <w:shd w:val="clear" w:color="auto" w:fill="FFFFFF"/>
        </w:rPr>
        <w:t>（一）报到时间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Style w:val="10"/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新生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：</w:t>
      </w:r>
      <w:r>
        <w:rPr>
          <w:rStyle w:val="10"/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2021年9月15日。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Style w:val="10"/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10"/>
          <w:rFonts w:hint="eastAsia" w:ascii="楷体" w:hAnsi="楷体" w:eastAsia="楷体" w:cs="楷体"/>
          <w:color w:val="000000"/>
          <w:spacing w:val="8"/>
          <w:sz w:val="32"/>
          <w:szCs w:val="32"/>
          <w:shd w:val="clear" w:color="auto" w:fill="FFFFFF"/>
        </w:rPr>
        <w:t>（二）新生报到流程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1.查询新生学号</w:t>
      </w:r>
    </w:p>
    <w:p>
      <w:pPr>
        <w:pStyle w:val="7"/>
        <w:widowControl/>
        <w:spacing w:before="0" w:beforeAutospacing="0" w:after="0" w:afterAutospacing="0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打开学校网站主页（建议使用PC浏览器）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u w:val="single"/>
          <w:shd w:val="clear" w:color="auto" w:fill="FFFFFF"/>
        </w:rPr>
        <w:t>http://www.lypt.edu.cn/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,点击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u w:val="single"/>
          <w:shd w:val="clear" w:color="auto" w:fill="FFFFFF"/>
        </w:rPr>
        <w:t>“2021级新生报到”悬浮窗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;或者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浏览器地址栏直接输入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u w:val="single"/>
          <w:shd w:val="clear" w:color="auto" w:fill="FFFFFF"/>
        </w:rPr>
        <w:t>http://yingxin.lypt.edu.cn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域名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即可查看迎新网站通知，点击右上角首页即可进入迎新系统主页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</w:rPr>
        <w:t>。</w:t>
      </w:r>
    </w:p>
    <w:p>
      <w:pPr>
        <w:pStyle w:val="7"/>
        <w:widowControl/>
        <w:spacing w:before="0" w:beforeAutospacing="0" w:after="0" w:afterAutospacing="0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在迎新系统主页上“学号查询”栏目下方，输入本人“身份证号”、“考生号”和“姓名”，点击“查询”按钮，即可看到本人学号。</w:t>
      </w:r>
    </w:p>
    <w:p>
      <w:pPr>
        <w:pStyle w:val="7"/>
        <w:widowControl/>
        <w:spacing w:before="0" w:beforeAutospacing="0" w:after="0" w:afterAutospacing="0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2.安装登录“多彩洛职”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（1）按照《洛阳职业技术学院2021级新生报到须知》中第八条说明，安卓设备扫码下载“多彩洛职”A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PP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，完成安装，IOS苹果设备自行前往苹果应用商店搜索下载。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（2）下载完毕后打开“多彩洛职”，点击右上角账号激活，按提示输入学号、姓名、身份证号，点击进入下一步进入“绑定手机号”页面，填写手机号码，点击发送验证码，用户会收到一条4位数的验证码，填写验证码之后就完成激活步骤后，即可激活成功进行设置初始密码，使用学号及设置的密码即可登录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3.线上报道流程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（1）登录“多彩洛职”APP后，点击“迎新系统”图标。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（2）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</w:rPr>
        <w:t>登录后能够看到本人所在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二级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等相关信息以及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</w:rPr>
        <w:t>辅导员及班主任的相关信息。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（3）按照要求逐项、如实、详细填写相关信息，并进行核对，无误后点击“提交”。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（4）全部信息填写完毕后点击“线上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预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报到”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此功能暂未开放，开放时间随选宿舍功能同时开放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确认，即可完成报到流程。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b/>
          <w:color w:val="000000"/>
          <w:spacing w:val="8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  <w:t>注：1.线上报到后请及时与辅导员建立联系;掌握“多彩洛职”中“健康打卡”功能的操作方法；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highlight w:val="none"/>
          <w:shd w:val="clear" w:color="auto" w:fill="FFFFFF"/>
        </w:rPr>
        <w:t>预计2021年9月12日以后在迎新系统中开放选宿舍系统功能（仅限伊滨校区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住宿学生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highlight w:val="none"/>
          <w:shd w:val="clear" w:color="auto" w:fill="FFFFFF"/>
        </w:rPr>
        <w:t>，其他校区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住宿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highlight w:val="none"/>
          <w:shd w:val="clear" w:color="auto" w:fill="FFFFFF"/>
        </w:rPr>
        <w:t>学生由所在二级院部统一安排）,住宿费缴纳完毕后（因家庭经济困难，确定需要通过绿色通道办理入学手续的学生，经辅导员确认后）可自助选宿舍（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伊滨校区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highlight w:val="none"/>
          <w:shd w:val="clear" w:color="auto" w:fill="FFFFFF"/>
        </w:rPr>
        <w:t>线上选宿舍未成功的同学，请与辅导员联系或到校后统一安排）。</w:t>
      </w:r>
    </w:p>
    <w:p>
      <w:pPr>
        <w:pStyle w:val="7"/>
        <w:widowControl/>
        <w:spacing w:before="0" w:beforeAutospacing="0" w:after="0" w:afterAutospacing="0"/>
        <w:ind w:firstLine="675" w:firstLineChars="200"/>
        <w:jc w:val="both"/>
        <w:rPr>
          <w:rFonts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  <w:t>2.19级五年一贯制学生，不再进行线上报到，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由辅导员通知线上学习相关事宜，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  <w:lang w:val="en-US" w:eastAsia="zh-CN"/>
        </w:rPr>
        <w:t>返校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  <w:t>时间按新生要求执行，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  <w:lang w:val="en-US" w:eastAsia="zh-CN"/>
        </w:rPr>
        <w:t>由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  <w:t>相关二级学院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  <w:lang w:val="en-US" w:eastAsia="zh-CN"/>
        </w:rPr>
        <w:t>辅导员</w:t>
      </w: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  <w:t>通过微信或QQ群直接安排各项工作，宿舍由辅导员安排，不再进行线上选宿舍。</w:t>
      </w:r>
    </w:p>
    <w:p>
      <w:pPr>
        <w:pStyle w:val="7"/>
        <w:widowControl/>
        <w:spacing w:before="0" w:beforeAutospacing="0" w:after="0" w:afterAutospacing="0"/>
        <w:ind w:firstLine="675" w:firstLineChars="200"/>
        <w:jc w:val="both"/>
        <w:rPr>
          <w:rFonts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  <w:t>3.21级五年一贯制学生，不再进行线上报到，由公共基础部通过多种途径安排各项工作。</w:t>
      </w:r>
    </w:p>
    <w:p>
      <w:pPr>
        <w:pStyle w:val="7"/>
        <w:widowControl/>
        <w:spacing w:before="0" w:beforeAutospacing="0" w:after="0" w:afterAutospacing="0"/>
        <w:ind w:firstLine="675" w:firstLineChars="200"/>
        <w:jc w:val="both"/>
        <w:rPr>
          <w:rFonts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pacing w:val="8"/>
          <w:sz w:val="32"/>
          <w:szCs w:val="32"/>
          <w:shd w:val="clear" w:color="auto" w:fill="FFFFFF"/>
        </w:rPr>
        <w:t>4.如有问题请联系本班辅导员。</w:t>
      </w:r>
    </w:p>
    <w:p>
      <w:pPr>
        <w:widowControl/>
        <w:ind w:firstLine="672" w:firstLineChars="200"/>
        <w:jc w:val="left"/>
        <w:rPr>
          <w:rStyle w:val="10"/>
          <w:rFonts w:ascii="黑体" w:hAnsi="黑体" w:eastAsia="黑体" w:cs="黑体"/>
          <w:spacing w:val="8"/>
          <w:kern w:val="0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</w:rPr>
        <w:t>二、学费缴纳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楷体" w:hAnsi="楷体" w:eastAsia="楷体" w:cs="楷体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pacing w:val="8"/>
          <w:sz w:val="32"/>
          <w:szCs w:val="32"/>
          <w:shd w:val="clear" w:color="auto" w:fill="FFFFFF"/>
        </w:rPr>
        <w:t>（一）新生收费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我院校园统一支付平台新生缴费端口将于9月10日开启，请在报到前登录洛阳职业技术学院校园统一支付平台，通过微信支付缴纳学费、住宿费。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1．学费标准详见下表：</w:t>
      </w:r>
    </w:p>
    <w:tbl>
      <w:tblPr>
        <w:tblStyle w:val="8"/>
        <w:tblpPr w:leftFromText="180" w:rightFromText="180" w:vertAnchor="text" w:horzAnchor="page" w:tblpX="1536" w:tblpY="69"/>
        <w:tblOverlap w:val="never"/>
        <w:tblW w:w="93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2"/>
        <w:gridCol w:w="1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7"/>
              <w:widowControl/>
              <w:snapToGrid w:val="0"/>
              <w:spacing w:before="0" w:beforeAutospacing="0" w:after="0" w:afterAutospacing="0" w:line="390" w:lineRule="atLeast"/>
              <w:ind w:left="645"/>
              <w:jc w:val="both"/>
              <w:rPr>
                <w:rStyle w:val="11"/>
                <w:rFonts w:ascii="宋体" w:hAnsi="宋体"/>
                <w:color w:val="000000"/>
                <w:kern w:val="2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</w:rPr>
              <w:t>专业名称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学费（元/年）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napToGrid w:val="0"/>
              <w:spacing w:line="320" w:lineRule="exact"/>
              <w:ind w:left="217" w:leftChars="95" w:hanging="18" w:hangingChars="10"/>
              <w:jc w:val="left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医学检验技术、医学影像技术、临床医学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5200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ind w:left="217" w:leftChars="95" w:hanging="18" w:hangingChars="10"/>
              <w:jc w:val="left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护理、助产、中医学、医学营养、药学、康复治疗技术、</w:t>
            </w:r>
            <w:r>
              <w:rPr>
                <w:rStyle w:val="11"/>
                <w:rFonts w:ascii="宋体" w:hAnsi="宋体"/>
                <w:color w:val="000000"/>
                <w:sz w:val="18"/>
                <w:szCs w:val="18"/>
              </w:rPr>
              <w:t>婴幼儿托育服务与管理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sz w:val="18"/>
                <w:szCs w:val="18"/>
              </w:rPr>
              <w:t>4800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ind w:left="217" w:leftChars="95" w:hanging="18" w:hangingChars="10"/>
              <w:jc w:val="left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sz w:val="18"/>
                <w:szCs w:val="18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ind w:left="217" w:leftChars="95" w:hanging="18" w:hangingChars="10"/>
              <w:jc w:val="left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计算机应用技术、计算机应用技术（.NET）、计算机应用技术（UI设计）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sz w:val="18"/>
                <w:szCs w:val="18"/>
              </w:rPr>
              <w:t>4600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ind w:left="217" w:leftChars="95" w:right="90" w:rightChars="43" w:hanging="18" w:hangingChars="10"/>
              <w:jc w:val="left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机械设计与制造、机电一体化技术、工业机器人技术、物联网应用技术、汽车制造与试验技术、</w:t>
            </w:r>
          </w:p>
          <w:p>
            <w:pPr>
              <w:widowControl/>
              <w:snapToGrid w:val="0"/>
              <w:spacing w:line="320" w:lineRule="exact"/>
              <w:ind w:left="217" w:leftChars="95" w:right="90" w:rightChars="43" w:hanging="18" w:hangingChars="10"/>
              <w:jc w:val="left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新能源汽车技术、汽车电子技术、城市轨道交通通信信号技术、工程造价、建筑工程技术、软件技术</w:t>
            </w:r>
          </w:p>
          <w:p>
            <w:pPr>
              <w:widowControl/>
              <w:snapToGrid w:val="0"/>
              <w:spacing w:line="320" w:lineRule="exact"/>
              <w:ind w:left="217" w:leftChars="95" w:right="90" w:rightChars="43" w:hanging="18" w:hangingChars="10"/>
              <w:jc w:val="left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园林工程技术、大数据技术、食品检验检测技术、食品智能加工技术、宠物医疗技术、宠物养护与驯导、电梯工程技术、软件技术（电子商务技术）、建筑室内设计、软件技术（软件设计与开发）、大数据技术（数据分析与处理）、体育保健与康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4200</w:t>
            </w:r>
          </w:p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ind w:left="217" w:leftChars="95" w:right="90" w:rightChars="43" w:hanging="18" w:hangingChars="10"/>
              <w:jc w:val="left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sz w:val="18"/>
                <w:szCs w:val="18"/>
              </w:rPr>
              <w:t>大数据与财务管理、会计信息管理、市场营销、电子商务、金融科技应用、现代物流管理、财税大数据应用、餐饮智能管理、烹饪工艺与营养、旅游管理、旅游管理（智慧旅游）、酒店管理与数字化运营、高速铁路客运服务、高速铁路客运服务（运营管理）、智慧健康养老服务与管理、现代物业管理、大数据与审计、文物考古技术、石窟寺保护技术、</w:t>
            </w: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网络营销与直播电商（新媒体营销）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3700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ind w:firstLine="219" w:firstLineChars="122"/>
              <w:jc w:val="left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sz w:val="18"/>
                <w:szCs w:val="18"/>
              </w:rPr>
              <w:t>戏曲表演、音乐表演、舞蹈表演、文物修复与保护、人物形象设计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ind w:firstLine="219" w:firstLineChars="122"/>
              <w:jc w:val="left"/>
              <w:textAlignment w:val="center"/>
              <w:rPr>
                <w:rStyle w:val="11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sz w:val="18"/>
                <w:szCs w:val="18"/>
              </w:rPr>
              <w:t>机电一体化技术（中外合作办学）、机械设计与制造（中外合作办学）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color w:val="000000"/>
                <w:kern w:val="0"/>
                <w:sz w:val="18"/>
                <w:szCs w:val="18"/>
              </w:rPr>
              <w:t>12000</w:t>
            </w:r>
          </w:p>
        </w:tc>
      </w:tr>
    </w:tbl>
    <w:p>
      <w:pPr>
        <w:pStyle w:val="7"/>
        <w:widowControl/>
        <w:spacing w:beforeLines="50" w:beforeAutospacing="0" w:after="0" w:afterAutospacing="0"/>
        <w:ind w:firstLine="646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2.住宿费：（1）伊滨校区1200 元／生／年；（2）西工校区480元／生／年 ；（3）高新校区400元／生／年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;（4）瀍河校区500元/生/年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pict>
          <v:shape id="文本框 5" o:spid="_x0000_s1026" o:spt="202" type="#_x0000_t202" style="position:absolute;left:0pt;margin-left:326.9pt;margin-top:7.85pt;height:147.2pt;width:113.7pt;mso-wrap-distance-bottom:0pt;mso-wrap-distance-left:9pt;mso-wrap-distance-right:9pt;mso-wrap-distance-top:0pt;z-index:251660288;mso-width-relative:page;mso-height-relative:page;" coordsize="21600,21600" o:gfxdata="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fNgcz2QAAAAoBAAAPAAAAAAAAAAEA&#10;IAAAACIAAABkcnMvZG93bnJldi54bWxQSwECFAAUAAAACACHTuJAjKApsw4CAAA3BAAADgAAAAAA&#10;AAABACAAAAAoAQAAZHJzL2Uyb0RvYy54bWxQSwUGAAAAAAYABgBZAQAAq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extAlignment w:val="baseline"/>
                    <w:rPr>
                      <w:rStyle w:val="11"/>
                    </w:rPr>
                  </w:pPr>
                  <w:r>
                    <w:rPr>
                      <w:rStyle w:val="11"/>
                    </w:rPr>
                    <w:drawing>
                      <wp:inline distT="0" distB="0" distL="114300" distR="114300">
                        <wp:extent cx="1271905" cy="1063625"/>
                        <wp:effectExtent l="0" t="0" r="10795" b="317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905" cy="1063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textAlignment w:val="baseline"/>
                    <w:rPr>
                      <w:rStyle w:val="11"/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Style w:val="11"/>
                      <w:rFonts w:ascii="黑体" w:hAnsi="黑体" w:eastAsia="黑体"/>
                      <w:sz w:val="18"/>
                      <w:szCs w:val="18"/>
                    </w:rPr>
                    <w:t>洛阳职业技术学院</w:t>
                  </w:r>
                </w:p>
                <w:p>
                  <w:pPr>
                    <w:jc w:val="center"/>
                    <w:textAlignment w:val="baseline"/>
                    <w:rPr>
                      <w:rStyle w:val="11"/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Style w:val="11"/>
                      <w:rFonts w:ascii="黑体" w:hAnsi="黑体" w:eastAsia="黑体"/>
                      <w:sz w:val="18"/>
                      <w:szCs w:val="18"/>
                    </w:rPr>
                    <w:t>计划财务处</w:t>
                  </w:r>
                </w:p>
                <w:p>
                  <w:pPr>
                    <w:jc w:val="center"/>
                    <w:textAlignment w:val="baseline"/>
                    <w:rPr>
                      <w:rStyle w:val="11"/>
                      <w:rFonts w:ascii="黑体" w:hAnsi="黑体" w:eastAsia="黑体"/>
                      <w:sz w:val="18"/>
                      <w:szCs w:val="18"/>
                    </w:rPr>
                  </w:pPr>
                  <w:r>
                    <w:rPr>
                      <w:rStyle w:val="11"/>
                      <w:rFonts w:ascii="黑体" w:hAnsi="黑体" w:eastAsia="黑体"/>
                      <w:sz w:val="18"/>
                      <w:szCs w:val="18"/>
                    </w:rPr>
                    <w:t>支付平台二维码</w:t>
                  </w:r>
                </w:p>
                <w:p>
                  <w:pPr>
                    <w:textAlignment w:val="baseline"/>
                    <w:rPr>
                      <w:rStyle w:val="11"/>
                    </w:rPr>
                  </w:pPr>
                </w:p>
              </w:txbxContent>
            </v:textbox>
            <w10:wrap type="square"/>
          </v:shape>
        </w:pic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3.缴纳学费、住宿费后（因家庭经济困难，确定需要通过绿色通道办理入学手续的学生，经辅导员确认后）方可选住宿床位。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pacing w:val="8"/>
          <w:sz w:val="32"/>
          <w:szCs w:val="32"/>
          <w:shd w:val="clear" w:color="auto" w:fill="FFFFFF"/>
        </w:rPr>
        <w:t>（二）缴费方式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第一步：以下两种方式登录学费缴费平台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学生登录洛阳职业技术学院官网：https://www.lypt.edu.cn/，找到官网首页下方“学生缴费”入口，进入统一支付平台界面。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学生微信关注“洛阳职业技术学院计划财务处”公众号，选择学生缴费进入校园统一支付平台界面。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第二步：学生选择“证件号”方式登录，依次输入身份证号、姓名。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第三步：学生登录成功后，选择“学费缴费”，核对缴费明细，确认无误后选择右下角缴费支付即可。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楷体" w:hAnsi="楷体" w:eastAsia="楷体" w:cs="楷体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pacing w:val="8"/>
          <w:sz w:val="32"/>
          <w:szCs w:val="32"/>
          <w:shd w:val="clear" w:color="auto" w:fill="FFFFFF"/>
        </w:rPr>
        <w:t>（三）注意事项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1.学费和住宿费要按照支付平台显示的缴费标准全额缴纳，不能只缴纳其中部分金额。因家庭经济困难，确定需要通过绿色通道办理入学手续的学生，可暂不缴费。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2.未按规定时间缴费将影响学籍注册、上课等，请各位同学注意。</w:t>
      </w:r>
    </w:p>
    <w:p>
      <w:pPr>
        <w:widowControl/>
        <w:ind w:firstLine="672" w:firstLineChars="200"/>
        <w:jc w:val="left"/>
        <w:rPr>
          <w:rStyle w:val="10"/>
          <w:rFonts w:ascii="黑体" w:hAnsi="黑体" w:eastAsia="黑体" w:cs="黑体"/>
          <w:spacing w:val="8"/>
          <w:kern w:val="0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</w:rPr>
        <w:t>三、线上教学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Style w:val="10"/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新生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：</w:t>
      </w:r>
      <w:r>
        <w:rPr>
          <w:rStyle w:val="10"/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2021年9月16日按要求收看开学第一课；</w:t>
      </w:r>
    </w:p>
    <w:p>
      <w:pPr>
        <w:pStyle w:val="7"/>
        <w:widowControl/>
        <w:spacing w:before="0" w:beforeAutospacing="0" w:after="0" w:afterAutospacing="0"/>
        <w:ind w:firstLine="1680" w:firstLineChars="500"/>
        <w:jc w:val="both"/>
        <w:rPr>
          <w:rStyle w:val="10"/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2021年9月17日按课表开始网上授课。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Style w:val="10"/>
          <w:rFonts w:ascii="楷体" w:hAnsi="楷体" w:eastAsia="楷体" w:cs="楷体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10"/>
          <w:rFonts w:hint="eastAsia" w:ascii="楷体" w:hAnsi="楷体" w:eastAsia="楷体" w:cs="楷体"/>
          <w:color w:val="000000"/>
          <w:spacing w:val="8"/>
          <w:sz w:val="32"/>
          <w:szCs w:val="32"/>
          <w:shd w:val="clear" w:color="auto" w:fill="FFFFFF"/>
        </w:rPr>
        <w:t>网上教学平台使用手册和学习通使用手册下载地址：</w:t>
      </w:r>
    </w:p>
    <w:p>
      <w:pPr>
        <w:pStyle w:val="7"/>
        <w:widowControl/>
        <w:spacing w:before="0" w:beforeAutospacing="0" w:after="0" w:afterAutospacing="0"/>
        <w:ind w:firstLine="645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（</w:t>
      </w:r>
      <w:r>
        <w:fldChar w:fldCharType="begin"/>
      </w:r>
      <w:r>
        <w:instrText xml:space="preserve"> HYPERLINK "http://lyvtc.fanya.chaoxing.com" </w:instrText>
      </w:r>
      <w:r>
        <w:fldChar w:fldCharType="separate"/>
      </w:r>
      <w:r>
        <w:rPr>
          <w:rStyle w:val="13"/>
          <w:rFonts w:ascii="仿宋" w:hAnsi="仿宋" w:eastAsia="仿宋" w:cs="仿宋"/>
          <w:spacing w:val="8"/>
          <w:sz w:val="32"/>
          <w:szCs w:val="32"/>
          <w:shd w:val="clear" w:color="auto" w:fill="FFFFFF"/>
        </w:rPr>
        <w:t>http://lyvtc.fanya.chaoxing.com</w:t>
      </w:r>
      <w:r>
        <w:rPr>
          <w:rStyle w:val="13"/>
          <w:rFonts w:ascii="仿宋" w:hAnsi="仿宋" w:eastAsia="仿宋" w:cs="仿宋"/>
          <w:spacing w:val="8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）</w:t>
      </w:r>
    </w:p>
    <w:p>
      <w:pPr>
        <w:pStyle w:val="7"/>
        <w:widowControl/>
        <w:spacing w:before="0" w:beforeAutospacing="0" w:after="0" w:afterAutospacing="0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认真阅读网上教学平台使用手册和学习通使用手册，及时下载安装调试超星学习通。关注班级QQ群、班级微信群，与班级辅导员取得联系。</w:t>
      </w:r>
    </w:p>
    <w:p>
      <w:pPr>
        <w:widowControl/>
        <w:ind w:firstLine="672" w:firstLineChars="200"/>
        <w:jc w:val="left"/>
        <w:rPr>
          <w:rStyle w:val="10"/>
          <w:rFonts w:ascii="黑体" w:hAnsi="黑体" w:eastAsia="黑体" w:cs="黑体"/>
          <w:spacing w:val="8"/>
          <w:kern w:val="0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</w:rPr>
        <w:t>四、</w:t>
      </w:r>
      <w:r>
        <w:rPr>
          <w:rStyle w:val="10"/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  <w:lang w:val="en-US"/>
        </w:rPr>
        <w:t>温馨</w:t>
      </w:r>
      <w:r>
        <w:rPr>
          <w:rStyle w:val="10"/>
          <w:rFonts w:hint="eastAsia" w:ascii="黑体" w:hAnsi="黑体" w:eastAsia="黑体" w:cs="黑体"/>
          <w:spacing w:val="8"/>
          <w:kern w:val="0"/>
          <w:sz w:val="32"/>
          <w:szCs w:val="32"/>
          <w:shd w:val="clear" w:color="auto" w:fill="FFFFFF"/>
        </w:rPr>
        <w:t>提示</w:t>
      </w:r>
    </w:p>
    <w:p>
      <w:pPr>
        <w:pStyle w:val="7"/>
        <w:widowControl/>
        <w:spacing w:before="0" w:beforeAutospacing="0" w:after="0" w:afterAutospacing="0" w:line="555" w:lineRule="atLeast"/>
        <w:ind w:firstLine="672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1.请按照要求认真进行健康监测，新生要及时加入班级群，每日继续在“多彩洛职”平台进行健康打卡，在群里如实上报个人健康状况和动态轨迹。未能在入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校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前连续14天进行健康打卡的学生，暂缓入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校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。</w:t>
      </w:r>
    </w:p>
    <w:p>
      <w:pPr>
        <w:pStyle w:val="7"/>
        <w:widowControl/>
        <w:spacing w:before="0" w:beforeAutospacing="0" w:after="0" w:afterAutospacing="0" w:line="555" w:lineRule="atLeast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2.请切实担负起疫情防护的个人责任，对当地政府和学校关于疫情防控的各项要求和措施，要积极配合，如实提供信息。凡瞒报、漏报信息和违反疫情防控规定的，要承担相应的法律责任。</w:t>
      </w:r>
    </w:p>
    <w:p>
      <w:pPr>
        <w:pStyle w:val="7"/>
        <w:widowControl/>
        <w:spacing w:before="0" w:beforeAutospacing="0" w:after="0" w:afterAutospacing="0" w:line="555" w:lineRule="atLeast"/>
        <w:ind w:firstLine="672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3.请及时关注学校官方网站、迎新网、官方微信公众号等，学生具体入学时间及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入校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条件等相关通知将第一时间通过上述渠道发布。没有接到学校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入校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通知前，一律不得提前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入校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。</w:t>
      </w:r>
    </w:p>
    <w:p>
      <w:pPr>
        <w:pStyle w:val="7"/>
        <w:widowControl/>
        <w:spacing w:before="0" w:beforeAutospacing="0" w:after="0" w:afterAutospacing="0" w:line="555" w:lineRule="atLeast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4.请按照学校规定的入学条件，提前做好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入校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准备工作。尤其是要关注本人及家人的“健康码”、“行程码”、入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校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前14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天连续在“多彩洛职”的打卡记录等。</w:t>
      </w:r>
    </w:p>
    <w:p>
      <w:pPr>
        <w:pStyle w:val="7"/>
        <w:widowControl/>
        <w:spacing w:before="0" w:beforeAutospacing="0" w:after="0" w:afterAutospacing="0" w:line="555" w:lineRule="atLeast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5.符合疫苗接种条件的学生，根据疫苗接种“应接尽接”的原则，务必在当地卫生防疫部门立即接种疫苗，尽早尽快建立起校园防疫屏障，接种疫苗后仍需注意个人防护，入校时需提供48小时内核酸检测阴性证明和其它有关证明资料。</w:t>
      </w:r>
    </w:p>
    <w:p>
      <w:pPr>
        <w:pStyle w:val="7"/>
        <w:widowControl/>
        <w:spacing w:before="0" w:beforeAutospacing="0" w:after="0" w:afterAutospacing="0" w:line="555" w:lineRule="atLeast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.教材费、城镇居民（大学生）医疗保险费用，到校后另行通知缴纳。</w:t>
      </w:r>
    </w:p>
    <w:p>
      <w:pPr>
        <w:pStyle w:val="7"/>
        <w:widowControl/>
        <w:spacing w:before="0" w:beforeAutospacing="0" w:after="0" w:afterAutospacing="0" w:line="555" w:lineRule="atLeast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.学生居家学习期间，要按时上课、安心学习。坚持非必要不外出、不聚集，如确需离开现居住地，提前向所在学院报批。要养成良好卫生健康习惯，加强个人防护，确保人身安全，不恐慌、不侥幸、不信谣、不传谣、不添乱，保持返校前身心状况良好，并做好返校前物资准备。</w:t>
      </w:r>
    </w:p>
    <w:p>
      <w:pPr>
        <w:pStyle w:val="7"/>
        <w:widowControl/>
        <w:spacing w:before="0" w:beforeAutospacing="0" w:after="0" w:afterAutospacing="0" w:line="555" w:lineRule="atLeast"/>
        <w:ind w:firstLine="672" w:firstLineChars="200"/>
        <w:jc w:val="both"/>
        <w:rPr>
          <w:rFonts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衷心祝愿同学们身体健康、学业有成！期待早日与同学们相聚！</w:t>
      </w:r>
    </w:p>
    <w:p>
      <w:pPr>
        <w:pStyle w:val="7"/>
        <w:widowControl/>
        <w:spacing w:before="0" w:beforeAutospacing="0" w:after="0" w:afterAutospacing="0" w:line="555" w:lineRule="atLeast"/>
        <w:ind w:firstLine="1605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洛阳职业技术学院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学生处</w:t>
      </w:r>
    </w:p>
    <w:p>
      <w:pPr>
        <w:pStyle w:val="7"/>
        <w:widowControl/>
        <w:spacing w:before="0" w:beforeAutospacing="0" w:after="0" w:afterAutospacing="0" w:line="555" w:lineRule="atLeast"/>
        <w:ind w:firstLine="1605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2021年9月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请全体同学扫码关注以下二维码：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401320</wp:posOffset>
            </wp:positionV>
            <wp:extent cx="2016760" cy="2016760"/>
            <wp:effectExtent l="0" t="0" r="2540" b="2540"/>
            <wp:wrapTopAndBottom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305435</wp:posOffset>
            </wp:positionV>
            <wp:extent cx="2089150" cy="2089150"/>
            <wp:effectExtent l="0" t="0" r="6350" b="6350"/>
            <wp:wrapTopAndBottom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 xml:space="preserve">洛阳职业技术学院官微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洛阳职业技术学院学生处官微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PingFangSC-light" w:eastAsia="仿宋_GB2312"/>
          <w:color w:val="000000" w:themeColor="text1"/>
          <w:spacing w:val="3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342900</wp:posOffset>
            </wp:positionV>
            <wp:extent cx="2504440" cy="2167890"/>
            <wp:effectExtent l="0" t="0" r="10160" b="3810"/>
            <wp:wrapNone/>
            <wp:docPr id="7" name="图片 0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0" descr="图片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1E6"/>
    <w:rsid w:val="000E7791"/>
    <w:rsid w:val="004F1072"/>
    <w:rsid w:val="00531552"/>
    <w:rsid w:val="00591873"/>
    <w:rsid w:val="006059A2"/>
    <w:rsid w:val="00632E26"/>
    <w:rsid w:val="00733AB9"/>
    <w:rsid w:val="00810907"/>
    <w:rsid w:val="00900E0E"/>
    <w:rsid w:val="009C2CAA"/>
    <w:rsid w:val="00B02111"/>
    <w:rsid w:val="00B175BF"/>
    <w:rsid w:val="00B7650F"/>
    <w:rsid w:val="00DE31E6"/>
    <w:rsid w:val="00E87CF1"/>
    <w:rsid w:val="00E87FC3"/>
    <w:rsid w:val="00EC2A2E"/>
    <w:rsid w:val="00FC4357"/>
    <w:rsid w:val="010B459D"/>
    <w:rsid w:val="012B4EBD"/>
    <w:rsid w:val="01676D8E"/>
    <w:rsid w:val="02495FF4"/>
    <w:rsid w:val="02AE4C3D"/>
    <w:rsid w:val="02DA062F"/>
    <w:rsid w:val="03753363"/>
    <w:rsid w:val="03771D0B"/>
    <w:rsid w:val="037F6B15"/>
    <w:rsid w:val="04230BFE"/>
    <w:rsid w:val="04735B5D"/>
    <w:rsid w:val="048100BF"/>
    <w:rsid w:val="048958E3"/>
    <w:rsid w:val="062A50A2"/>
    <w:rsid w:val="067C28AD"/>
    <w:rsid w:val="06A769D0"/>
    <w:rsid w:val="07672D44"/>
    <w:rsid w:val="08025266"/>
    <w:rsid w:val="0A8330A0"/>
    <w:rsid w:val="0B5D5E96"/>
    <w:rsid w:val="0BEC2AD7"/>
    <w:rsid w:val="0BEF26D9"/>
    <w:rsid w:val="0C4043D9"/>
    <w:rsid w:val="0C7347F2"/>
    <w:rsid w:val="0C9800EC"/>
    <w:rsid w:val="0CD327F7"/>
    <w:rsid w:val="0D0B52D5"/>
    <w:rsid w:val="0DA87767"/>
    <w:rsid w:val="0DA920DA"/>
    <w:rsid w:val="0DEC4C6D"/>
    <w:rsid w:val="0E8C03B4"/>
    <w:rsid w:val="0ECE5478"/>
    <w:rsid w:val="0EFB0DF0"/>
    <w:rsid w:val="0F8079B7"/>
    <w:rsid w:val="0FC52091"/>
    <w:rsid w:val="0FC85DBF"/>
    <w:rsid w:val="106D656F"/>
    <w:rsid w:val="10F94F8B"/>
    <w:rsid w:val="112A761E"/>
    <w:rsid w:val="11BC0031"/>
    <w:rsid w:val="12332D7F"/>
    <w:rsid w:val="12451938"/>
    <w:rsid w:val="12BF5A73"/>
    <w:rsid w:val="12DE5109"/>
    <w:rsid w:val="1381272E"/>
    <w:rsid w:val="142D0F28"/>
    <w:rsid w:val="14D90A7B"/>
    <w:rsid w:val="154A3B54"/>
    <w:rsid w:val="15F50804"/>
    <w:rsid w:val="16337D07"/>
    <w:rsid w:val="17DE5AA7"/>
    <w:rsid w:val="1874254F"/>
    <w:rsid w:val="19512F97"/>
    <w:rsid w:val="19DD4BCD"/>
    <w:rsid w:val="1A172339"/>
    <w:rsid w:val="1A892687"/>
    <w:rsid w:val="1B4F530A"/>
    <w:rsid w:val="1B5970DB"/>
    <w:rsid w:val="1BF167F6"/>
    <w:rsid w:val="1C1C277C"/>
    <w:rsid w:val="1C952BB0"/>
    <w:rsid w:val="1D1D4F34"/>
    <w:rsid w:val="212E3619"/>
    <w:rsid w:val="22296441"/>
    <w:rsid w:val="22C97569"/>
    <w:rsid w:val="23C90993"/>
    <w:rsid w:val="24DA501C"/>
    <w:rsid w:val="257B05BE"/>
    <w:rsid w:val="25D20C6C"/>
    <w:rsid w:val="25D82445"/>
    <w:rsid w:val="262E4EBA"/>
    <w:rsid w:val="26923032"/>
    <w:rsid w:val="26AB09AF"/>
    <w:rsid w:val="26FC4C85"/>
    <w:rsid w:val="28795EB8"/>
    <w:rsid w:val="2B1867B1"/>
    <w:rsid w:val="2B4079A8"/>
    <w:rsid w:val="2B6E1FB0"/>
    <w:rsid w:val="2B700E32"/>
    <w:rsid w:val="2B930595"/>
    <w:rsid w:val="2BE34322"/>
    <w:rsid w:val="2BEC14E1"/>
    <w:rsid w:val="2D64044B"/>
    <w:rsid w:val="2E2658F9"/>
    <w:rsid w:val="2F2A1E84"/>
    <w:rsid w:val="302E5E52"/>
    <w:rsid w:val="30516C8B"/>
    <w:rsid w:val="30976926"/>
    <w:rsid w:val="30C411DA"/>
    <w:rsid w:val="30D03AB4"/>
    <w:rsid w:val="30DE3AF2"/>
    <w:rsid w:val="31513E3F"/>
    <w:rsid w:val="315530B6"/>
    <w:rsid w:val="316B32E5"/>
    <w:rsid w:val="3241276B"/>
    <w:rsid w:val="32BF6C08"/>
    <w:rsid w:val="332C75D4"/>
    <w:rsid w:val="339753C5"/>
    <w:rsid w:val="33E71FA2"/>
    <w:rsid w:val="34496EAB"/>
    <w:rsid w:val="345B0D6D"/>
    <w:rsid w:val="352B694F"/>
    <w:rsid w:val="35973E08"/>
    <w:rsid w:val="37C959F4"/>
    <w:rsid w:val="37CB7DA4"/>
    <w:rsid w:val="38E65D17"/>
    <w:rsid w:val="38FB0A22"/>
    <w:rsid w:val="391673C8"/>
    <w:rsid w:val="39717443"/>
    <w:rsid w:val="3A2526F9"/>
    <w:rsid w:val="3AAE50C0"/>
    <w:rsid w:val="3AF22C4F"/>
    <w:rsid w:val="3B361722"/>
    <w:rsid w:val="3C191725"/>
    <w:rsid w:val="3D776B86"/>
    <w:rsid w:val="3E4A0A01"/>
    <w:rsid w:val="3EC04D23"/>
    <w:rsid w:val="3F284105"/>
    <w:rsid w:val="3FD00D83"/>
    <w:rsid w:val="4167149E"/>
    <w:rsid w:val="4225735B"/>
    <w:rsid w:val="42547FA6"/>
    <w:rsid w:val="428E2308"/>
    <w:rsid w:val="429F1DBC"/>
    <w:rsid w:val="43167085"/>
    <w:rsid w:val="442B159A"/>
    <w:rsid w:val="45293799"/>
    <w:rsid w:val="456D49DA"/>
    <w:rsid w:val="45A775A7"/>
    <w:rsid w:val="463075EB"/>
    <w:rsid w:val="46395B1A"/>
    <w:rsid w:val="46AF4549"/>
    <w:rsid w:val="46BF0FE1"/>
    <w:rsid w:val="47592773"/>
    <w:rsid w:val="47E32E3B"/>
    <w:rsid w:val="48131CC0"/>
    <w:rsid w:val="496447D1"/>
    <w:rsid w:val="49785A77"/>
    <w:rsid w:val="497E5360"/>
    <w:rsid w:val="49D73A70"/>
    <w:rsid w:val="4A7C0AFD"/>
    <w:rsid w:val="4ACE2331"/>
    <w:rsid w:val="4B737961"/>
    <w:rsid w:val="4B751401"/>
    <w:rsid w:val="4C1C7094"/>
    <w:rsid w:val="4CD6173F"/>
    <w:rsid w:val="4D0818E0"/>
    <w:rsid w:val="4E966358"/>
    <w:rsid w:val="506D7103"/>
    <w:rsid w:val="508B51CC"/>
    <w:rsid w:val="50A67F20"/>
    <w:rsid w:val="50D95D35"/>
    <w:rsid w:val="51135EA5"/>
    <w:rsid w:val="5127436E"/>
    <w:rsid w:val="51C25474"/>
    <w:rsid w:val="51E5531C"/>
    <w:rsid w:val="54584D17"/>
    <w:rsid w:val="545D763A"/>
    <w:rsid w:val="54BD1CD3"/>
    <w:rsid w:val="54FE3CF2"/>
    <w:rsid w:val="555C6354"/>
    <w:rsid w:val="55881E39"/>
    <w:rsid w:val="55A878AE"/>
    <w:rsid w:val="57F2676F"/>
    <w:rsid w:val="580F025D"/>
    <w:rsid w:val="58166D7F"/>
    <w:rsid w:val="58894171"/>
    <w:rsid w:val="592C788F"/>
    <w:rsid w:val="593F2A4A"/>
    <w:rsid w:val="5A657CC0"/>
    <w:rsid w:val="5B093F18"/>
    <w:rsid w:val="5B4957D3"/>
    <w:rsid w:val="5BD73DEB"/>
    <w:rsid w:val="5C110F44"/>
    <w:rsid w:val="5C251F83"/>
    <w:rsid w:val="5C3E3E65"/>
    <w:rsid w:val="5C5F17F1"/>
    <w:rsid w:val="5C7D5268"/>
    <w:rsid w:val="5D7D2275"/>
    <w:rsid w:val="5E4873D6"/>
    <w:rsid w:val="5E6A1CF0"/>
    <w:rsid w:val="5EE471A4"/>
    <w:rsid w:val="5F197D01"/>
    <w:rsid w:val="61084688"/>
    <w:rsid w:val="62402CDD"/>
    <w:rsid w:val="626D0D18"/>
    <w:rsid w:val="63C120A9"/>
    <w:rsid w:val="647318E0"/>
    <w:rsid w:val="66DB591A"/>
    <w:rsid w:val="67227102"/>
    <w:rsid w:val="67EE7009"/>
    <w:rsid w:val="6837359D"/>
    <w:rsid w:val="685C57A5"/>
    <w:rsid w:val="68A53141"/>
    <w:rsid w:val="68B34B67"/>
    <w:rsid w:val="68BC4C09"/>
    <w:rsid w:val="68D9750B"/>
    <w:rsid w:val="69210330"/>
    <w:rsid w:val="69214B5B"/>
    <w:rsid w:val="6AB761CE"/>
    <w:rsid w:val="6AEF69A7"/>
    <w:rsid w:val="6B2F1E4E"/>
    <w:rsid w:val="6B4613D4"/>
    <w:rsid w:val="6B6C0029"/>
    <w:rsid w:val="6D4B0530"/>
    <w:rsid w:val="6E4D0413"/>
    <w:rsid w:val="6EEB640A"/>
    <w:rsid w:val="6EF51090"/>
    <w:rsid w:val="6F27706D"/>
    <w:rsid w:val="6F857734"/>
    <w:rsid w:val="6FCA7B18"/>
    <w:rsid w:val="713A0DAA"/>
    <w:rsid w:val="7255349F"/>
    <w:rsid w:val="725E5DF0"/>
    <w:rsid w:val="727F269F"/>
    <w:rsid w:val="73222B2F"/>
    <w:rsid w:val="7322674D"/>
    <w:rsid w:val="734271A0"/>
    <w:rsid w:val="73B00C8E"/>
    <w:rsid w:val="73B04277"/>
    <w:rsid w:val="740805A0"/>
    <w:rsid w:val="742E4820"/>
    <w:rsid w:val="74A2113F"/>
    <w:rsid w:val="75444B0B"/>
    <w:rsid w:val="7558457C"/>
    <w:rsid w:val="758D4F76"/>
    <w:rsid w:val="75954B50"/>
    <w:rsid w:val="760D37E3"/>
    <w:rsid w:val="76540547"/>
    <w:rsid w:val="76870A88"/>
    <w:rsid w:val="76916113"/>
    <w:rsid w:val="76A725FB"/>
    <w:rsid w:val="77477947"/>
    <w:rsid w:val="77604744"/>
    <w:rsid w:val="77B439E4"/>
    <w:rsid w:val="77B50942"/>
    <w:rsid w:val="796F7D3E"/>
    <w:rsid w:val="79DA5F04"/>
    <w:rsid w:val="7B37616F"/>
    <w:rsid w:val="7B46482A"/>
    <w:rsid w:val="7B6C3CDC"/>
    <w:rsid w:val="7B82533C"/>
    <w:rsid w:val="7C3945E7"/>
    <w:rsid w:val="7CF04F3F"/>
    <w:rsid w:val="7D4F214D"/>
    <w:rsid w:val="7DF40888"/>
    <w:rsid w:val="7EC60729"/>
    <w:rsid w:val="7FDE3B53"/>
    <w:rsid w:val="7FF57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473</Words>
  <Characters>2697</Characters>
  <Lines>22</Lines>
  <Paragraphs>6</Paragraphs>
  <TotalTime>153</TotalTime>
  <ScaleCrop>false</ScaleCrop>
  <LinksUpToDate>false</LinksUpToDate>
  <CharactersWithSpaces>3164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2021-08-23T03:34:00Z</dcterms:created>
  <dc:creator>admin</dc:creator>
  <cp:lastModifiedBy>青春岁月</cp:lastModifiedBy>
  <dcterms:modified xsi:type="dcterms:W3CDTF">2021-09-08T10:35:00Z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DDA34C62ECEE4E9EA91470352A701363</vt:lpwstr>
  </property>
</Properties>
</file>